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color w:val="auto"/>
          <w:sz w:val="44"/>
          <w:szCs w:val="44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201</w:t>
      </w:r>
      <w:r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  <w:t>9</w:t>
      </w: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年度河北省社会科学发展</w:t>
      </w:r>
    </w:p>
    <w:p>
      <w:pPr>
        <w:jc w:val="center"/>
        <w:rPr>
          <w:rFonts w:ascii="黑体" w:hAnsi="Times New Roman" w:eastAsia="黑体" w:cs="Times New Roman"/>
          <w:color w:val="auto"/>
          <w:sz w:val="44"/>
          <w:szCs w:val="44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研究课题指南</w:t>
      </w:r>
    </w:p>
    <w:p>
      <w:pPr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一、指导思想</w:t>
      </w:r>
    </w:p>
    <w:p>
      <w:pPr>
        <w:autoSpaceDN w:val="0"/>
        <w:spacing w:line="432" w:lineRule="auto"/>
        <w:ind w:firstLine="640" w:firstLineChars="200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高举中国特色社会主义伟大旗帜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深入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贯彻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党的十九大精神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和河北省委九届八次全会精神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，以马克思列宁主义、毛泽东思想、邓小平理论、“三个代表”重要思想、科学发展观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，习近平新时代中国特色社会主义思想为指导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以河北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省经济社会发展中的重大理论和现实问题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为主攻方向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，基础研究和应用研究并重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加快构建中国特色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、河北特点的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哲学社会科学。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充分发挥省社科发展研究课题的引领作用，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推动哲学社会科学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为党委和政府决策服务、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为繁荣发展哲学社会科学服务。</w:t>
      </w:r>
    </w:p>
    <w:p>
      <w:pPr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二、总体要求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（一）课题研究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以河北经济社会发展中具有全局性、战略性的重大理论和现实问题为主攻方向，着力推动学术观点、学科体系和研究方法的创新，着力推出有分量有深度的研究成果。基础研究要突出学术价值，体现原创性、开拓性；应用研究要深刻把握省情，体现现实性、针对性、可操作性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同一课题在申报本项目的同时不得申报其他研究项目。申报课题的负责人同年度只能申报一个项目。青年课题负责人（包括课题组成员），年龄不得超过39周岁。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申报人应认真组织课题论证，按要求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如实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填写《河北省社会科学发展研究课题申请书》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及《论证活页》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，并保证没有知识产权争议。凡弄虚作假者，一经查实取消申报资格。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三、重点研究方向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Courier New"/>
          <w:bCs/>
          <w:color w:val="0000FF"/>
          <w:sz w:val="32"/>
          <w:szCs w:val="28"/>
        </w:rPr>
      </w:pPr>
      <w:r>
        <w:rPr>
          <w:rFonts w:hint="eastAsia" w:ascii="仿宋_GB2312" w:hAnsi="Courier New" w:eastAsia="仿宋_GB2312" w:cs="Courier New"/>
          <w:color w:val="0000FF"/>
          <w:sz w:val="32"/>
          <w:szCs w:val="32"/>
        </w:rPr>
        <w:t>1.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习近平新时代中国特色社会主义思想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  <w:lang w:eastAsia="zh-CN"/>
        </w:rPr>
        <w:t>实践意义和价值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_GB2312" w:hAnsi="Courier New" w:eastAsia="仿宋_GB2312" w:cs="Courier New"/>
          <w:color w:val="0000FF"/>
          <w:sz w:val="32"/>
          <w:szCs w:val="32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2.</w:t>
      </w:r>
      <w:r>
        <w:rPr>
          <w:rFonts w:hint="eastAsia" w:ascii="仿宋_GB2312" w:hAnsi="Courier New" w:eastAsia="仿宋_GB2312" w:cs="Courier New"/>
          <w:color w:val="0000FF"/>
          <w:sz w:val="32"/>
          <w:szCs w:val="32"/>
        </w:rPr>
        <w:t>新时代中国特色社会主义</w:t>
      </w:r>
      <w:r>
        <w:rPr>
          <w:rFonts w:hint="eastAsia" w:ascii="仿宋_GB2312" w:hAnsi="Courier New" w:eastAsia="仿宋_GB2312" w:cs="Courier New"/>
          <w:color w:val="0000FF"/>
          <w:sz w:val="32"/>
          <w:szCs w:val="32"/>
          <w:lang w:eastAsia="zh-CN"/>
        </w:rPr>
        <w:t>实践中面临的具体问题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Courier New"/>
          <w:bCs/>
          <w:color w:val="0000FF"/>
          <w:sz w:val="32"/>
          <w:szCs w:val="28"/>
          <w:lang w:eastAsia="zh-CN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3.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  <w:lang w:eastAsia="zh-CN"/>
        </w:rPr>
        <w:t>新时代宣传思想工作研究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Courier New"/>
          <w:bCs/>
          <w:color w:val="0000FF"/>
          <w:sz w:val="32"/>
          <w:szCs w:val="28"/>
          <w:lang w:val="en-US" w:eastAsia="zh-CN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  <w:lang w:val="en-US" w:eastAsia="zh-CN"/>
        </w:rPr>
        <w:t>4.新时代传承发扬“五四运动”精神的现实路径研究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_GB2312" w:eastAsia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河北经济社会发展中存在的现实问题研究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宋体"/>
          <w:bCs/>
          <w:color w:val="0000FF"/>
          <w:kern w:val="0"/>
          <w:sz w:val="32"/>
          <w:szCs w:val="28"/>
        </w:rPr>
      </w:pPr>
      <w:r>
        <w:rPr>
          <w:rFonts w:hint="eastAsia" w:ascii="仿宋_GB2312" w:hAnsi="宋体" w:eastAsia="仿宋_GB2312" w:cs="Courier New"/>
          <w:color w:val="0000FF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Courier New"/>
          <w:color w:val="0000FF"/>
          <w:sz w:val="32"/>
          <w:szCs w:val="32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河北发展历史窗口期和重要战略机遇期的内涵研究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0000FF"/>
          <w:sz w:val="32"/>
          <w:szCs w:val="21"/>
        </w:rPr>
      </w:pP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深入推进京津冀协同发展研究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宋体"/>
          <w:bCs/>
          <w:color w:val="0000FF"/>
          <w:kern w:val="0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  <w:lang w:val="en-US" w:eastAsia="zh-CN"/>
        </w:rPr>
        <w:t>8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雄安新区建设中体制政策创新研究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宋体"/>
          <w:bCs/>
          <w:color w:val="0000FF"/>
          <w:kern w:val="0"/>
          <w:sz w:val="32"/>
          <w:szCs w:val="28"/>
          <w:lang w:eastAsia="zh-CN"/>
        </w:rPr>
      </w:pP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</w:rPr>
        <w:t>.</w:t>
      </w: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  <w:lang w:eastAsia="zh-CN"/>
        </w:rPr>
        <w:t>保障服务北京冬奥会召开的相关工作研究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0000FF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.</w:t>
      </w:r>
      <w:r>
        <w:rPr>
          <w:rFonts w:hint="eastAsia" w:ascii="仿宋" w:hAnsi="仿宋" w:eastAsia="仿宋" w:cs="宋体"/>
          <w:bCs/>
          <w:color w:val="0000FF"/>
          <w:kern w:val="0"/>
          <w:sz w:val="32"/>
          <w:szCs w:val="28"/>
          <w:lang w:eastAsia="zh-CN"/>
        </w:rPr>
        <w:t>河北经济社会发展各项重点任务落实的对策研究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0000FF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1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Courier New"/>
          <w:bCs/>
          <w:color w:val="0000FF"/>
          <w:sz w:val="32"/>
          <w:szCs w:val="28"/>
        </w:rPr>
        <w:t>.</w:t>
      </w:r>
      <w:r>
        <w:rPr>
          <w:rFonts w:hint="eastAsia" w:ascii="仿宋_GB2312" w:eastAsia="仿宋_GB2312"/>
          <w:color w:val="0000FF"/>
          <w:sz w:val="32"/>
          <w:szCs w:val="32"/>
        </w:rPr>
        <w:t>新时代党的建设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与促进发展稳定的实践体系研究</w:t>
      </w:r>
    </w:p>
    <w:p>
      <w:pPr>
        <w:spacing w:line="360" w:lineRule="auto"/>
        <w:ind w:left="60" w:leftChars="-200" w:hanging="480" w:hangingChars="15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24"/>
        </w:rPr>
        <w:t xml:space="preserve">      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四、选题参考范围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</w:rPr>
        <w:t>中国特色社会主义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eastAsia="zh-CN"/>
        </w:rPr>
        <w:t>理论与实践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习近平新时代中国特色社会主义思想哲学基础研究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当代中国马克思主义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的理论创新研究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“四个自信”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与</w:t>
      </w:r>
      <w:r>
        <w:rPr>
          <w:rFonts w:hint="default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建设社会主义意识形态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关系研究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马克思主义意识形态理论现实意义研究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FF"/>
          <w:sz w:val="32"/>
          <w:szCs w:val="32"/>
        </w:rPr>
        <w:t>马克思主义哲学、政治经济学和科学社会主义学说的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当代价值研究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6.构建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高校意识形态工作融合机制研究</w:t>
      </w:r>
    </w:p>
    <w:p>
      <w:pPr>
        <w:spacing w:line="36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eastAsia="zh-CN"/>
        </w:rPr>
        <w:t>新时代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完善和发展中国特色社会主义制度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eastAsia="zh-CN"/>
        </w:rPr>
        <w:t>实践总结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eastAsia="zh-CN"/>
        </w:rPr>
        <w:t>全面深化改革的方法论研究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深化国家监察体制改革中的具体问题研究</w:t>
      </w:r>
    </w:p>
    <w:p>
      <w:pPr>
        <w:spacing w:line="360" w:lineRule="auto"/>
        <w:ind w:firstLine="648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中国特色社会主义民主制度发展研究</w:t>
      </w:r>
    </w:p>
    <w:p>
      <w:pPr>
        <w:spacing w:line="360" w:lineRule="auto"/>
        <w:ind w:firstLine="648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协商民主与城市社会基层治理研究</w:t>
      </w:r>
    </w:p>
    <w:p>
      <w:pPr>
        <w:spacing w:line="360" w:lineRule="auto"/>
        <w:ind w:firstLine="648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12.加强基层党建与基层治理的体制机制研究</w:t>
      </w:r>
    </w:p>
    <w:p>
      <w:pPr>
        <w:spacing w:line="360" w:lineRule="auto"/>
        <w:ind w:firstLine="648"/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13.新时代党的组织路线的理论与实践研究</w:t>
      </w:r>
    </w:p>
    <w:p>
      <w:pPr>
        <w:spacing w:line="360" w:lineRule="auto"/>
        <w:ind w:firstLine="648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val="en-US" w:eastAsia="zh-CN"/>
        </w:rPr>
        <w:t>14.国家治理体系和治理能力现代化建设的新发展研究</w:t>
      </w:r>
    </w:p>
    <w:p>
      <w:pPr>
        <w:spacing w:line="360" w:lineRule="auto"/>
        <w:ind w:firstLine="630" w:firstLineChars="196"/>
        <w:rPr>
          <w:rFonts w:ascii="楷体_GB2312" w:hAnsi="宋体" w:eastAsia="楷体_GB2312" w:cs="Times New Roman"/>
          <w:b/>
          <w:bCs/>
          <w:color w:val="0066FF"/>
          <w:sz w:val="32"/>
          <w:szCs w:val="24"/>
        </w:rPr>
      </w:pPr>
      <w:r>
        <w:rPr>
          <w:rFonts w:hint="eastAsia" w:ascii="楷体_GB2312" w:hAnsi="宋体" w:eastAsia="楷体_GB2312" w:cs="Times New Roman"/>
          <w:b/>
          <w:bCs/>
          <w:color w:val="0066FF"/>
          <w:sz w:val="32"/>
          <w:szCs w:val="24"/>
        </w:rPr>
        <w:t>（二）新时代全面建设经济强省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区域经济平衡发展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河北推动先进制造业和现代服务业深度融合研究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河北战略性新兴产业和实体经济发展现状研究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河北发展高新技术企业和科技型中小企业策略研究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河北优化营商环境中的具体问题研究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河北培育经济增长新动能的对策研究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7.</w:t>
      </w:r>
      <w:r>
        <w:rPr>
          <w:rFonts w:hint="eastAsia"/>
          <w:color w:val="0066FF"/>
        </w:rPr>
        <w:t xml:space="preserve"> 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河北扩大对外开放中的现实问题研究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河北支持和引导民营经济高质量发展的对策研究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河北供给侧结构对需求变化的适应性问题研究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激发各类市场主体活力研究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val="en-US" w:eastAsia="zh-CN"/>
        </w:rPr>
        <w:t>河北构建多极支撑的现代产业新体系问题研究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12.</w:t>
      </w:r>
      <w:r>
        <w:rPr>
          <w:rFonts w:hint="eastAsia" w:ascii="仿宋_GB2312" w:eastAsia="仿宋_GB2312"/>
          <w:color w:val="0066FF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0066FF"/>
          <w:sz w:val="32"/>
          <w:szCs w:val="32"/>
        </w:rPr>
        <w:t>培育新的经济增长极</w:t>
      </w:r>
      <w:r>
        <w:rPr>
          <w:rFonts w:hint="eastAsia" w:ascii="仿宋_GB2312" w:eastAsia="仿宋_GB2312"/>
          <w:color w:val="0066FF"/>
          <w:sz w:val="32"/>
          <w:szCs w:val="32"/>
          <w:lang w:eastAsia="zh-CN"/>
        </w:rPr>
        <w:t>具体问题研究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13.</w:t>
      </w:r>
      <w:r>
        <w:rPr>
          <w:rFonts w:hint="eastAsia" w:ascii="仿宋_GB2312" w:eastAsia="仿宋_GB2312"/>
          <w:color w:val="0066FF"/>
          <w:sz w:val="32"/>
          <w:szCs w:val="32"/>
        </w:rPr>
        <w:t>河北</w:t>
      </w:r>
      <w:r>
        <w:rPr>
          <w:rFonts w:hint="eastAsia" w:ascii="仿宋_GB2312" w:eastAsia="仿宋_GB2312"/>
          <w:color w:val="0066FF"/>
          <w:sz w:val="32"/>
          <w:szCs w:val="32"/>
          <w:lang w:eastAsia="zh-CN"/>
        </w:rPr>
        <w:t>加强产业技术创新的现实问题研究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0066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14.河北国有企业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发展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color w:val="0066FF"/>
          <w:sz w:val="32"/>
          <w:szCs w:val="32"/>
        </w:rPr>
      </w:pP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</w:rPr>
        <w:t>15.</w:t>
      </w:r>
      <w:r>
        <w:rPr>
          <w:rFonts w:hint="eastAsia" w:ascii="仿宋_GB2312" w:hAnsi="宋体" w:eastAsia="仿宋_GB2312" w:cs="宋体"/>
          <w:color w:val="0066FF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0066FF"/>
          <w:sz w:val="32"/>
          <w:szCs w:val="32"/>
        </w:rPr>
        <w:t>金融服务于实体经济发展问题研究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color w:val="0066FF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66FF"/>
          <w:sz w:val="32"/>
          <w:szCs w:val="32"/>
          <w:lang w:val="en-US" w:eastAsia="zh-CN"/>
        </w:rPr>
        <w:t>16.河北</w:t>
      </w:r>
      <w:r>
        <w:rPr>
          <w:rFonts w:hint="eastAsia" w:ascii="仿宋_GB2312" w:eastAsia="仿宋_GB2312"/>
          <w:color w:val="0066FF"/>
          <w:sz w:val="32"/>
          <w:szCs w:val="32"/>
        </w:rPr>
        <w:t>健全科技创新的责任体系和推进机制</w:t>
      </w:r>
      <w:r>
        <w:rPr>
          <w:rFonts w:hint="eastAsia" w:ascii="仿宋_GB2312" w:eastAsia="仿宋_GB2312"/>
          <w:color w:val="0066FF"/>
          <w:sz w:val="32"/>
          <w:szCs w:val="32"/>
          <w:lang w:eastAsia="zh-CN"/>
        </w:rPr>
        <w:t>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color w:val="0066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66FF"/>
          <w:sz w:val="32"/>
          <w:szCs w:val="32"/>
          <w:lang w:val="en-US" w:eastAsia="zh-CN"/>
        </w:rPr>
        <w:t>17.河北沿海经济带创新发展研究</w:t>
      </w:r>
    </w:p>
    <w:p>
      <w:pPr>
        <w:spacing w:line="360" w:lineRule="auto"/>
        <w:ind w:firstLine="630" w:firstLineChars="196"/>
        <w:rPr>
          <w:rFonts w:ascii="楷体_GB2312" w:hAnsi="Times New Roman" w:eastAsia="楷体_GB2312" w:cs="Times New Roman"/>
          <w:b/>
          <w:bCs/>
          <w:color w:val="0000FF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color w:val="0000FF"/>
          <w:sz w:val="32"/>
          <w:szCs w:val="24"/>
        </w:rPr>
        <w:t>（三）</w:t>
      </w:r>
      <w:r>
        <w:rPr>
          <w:rFonts w:hint="eastAsia" w:ascii="楷体_GB2312" w:hAnsi="宋体" w:eastAsia="楷体_GB2312" w:cs="Times New Roman"/>
          <w:b/>
          <w:bCs/>
          <w:color w:val="0000FF"/>
          <w:sz w:val="32"/>
          <w:szCs w:val="24"/>
          <w:lang w:eastAsia="zh-CN"/>
        </w:rPr>
        <w:t>全面依法治国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加强党对全面依法治国的领导的过程路径研究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0066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66FF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color w:val="0066FF"/>
          <w:sz w:val="32"/>
          <w:szCs w:val="32"/>
          <w:lang w:eastAsia="zh-CN"/>
        </w:rPr>
        <w:t>构建优化协调高效的政法机构职能体系研究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0066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66FF"/>
          <w:sz w:val="32"/>
          <w:szCs w:val="32"/>
        </w:rPr>
        <w:t>3.</w:t>
      </w:r>
      <w:r>
        <w:rPr>
          <w:rFonts w:hint="default" w:ascii="仿宋_GB2312" w:hAnsi="Times New Roman" w:eastAsia="仿宋_GB2312" w:cs="Times New Roman"/>
          <w:color w:val="0066FF"/>
          <w:sz w:val="32"/>
          <w:szCs w:val="32"/>
          <w:lang w:eastAsia="zh-CN"/>
        </w:rPr>
        <w:t>全面落实司法责任制</w:t>
      </w:r>
      <w:r>
        <w:rPr>
          <w:rFonts w:hint="eastAsia" w:ascii="仿宋_GB2312" w:hAnsi="Times New Roman" w:eastAsia="仿宋_GB2312" w:cs="Times New Roman"/>
          <w:color w:val="0066FF"/>
          <w:sz w:val="32"/>
          <w:szCs w:val="32"/>
          <w:lang w:eastAsia="zh-CN"/>
        </w:rPr>
        <w:t>中的相关问题研究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0066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66FF"/>
          <w:sz w:val="32"/>
          <w:szCs w:val="32"/>
        </w:rPr>
        <w:t>4.退役军人管理服务工作</w:t>
      </w:r>
      <w:r>
        <w:rPr>
          <w:rFonts w:hint="eastAsia" w:ascii="仿宋_GB2312" w:hAnsi="Times New Roman" w:eastAsia="仿宋_GB2312" w:cs="Times New Roman"/>
          <w:color w:val="0066FF"/>
          <w:sz w:val="32"/>
          <w:szCs w:val="32"/>
          <w:lang w:eastAsia="zh-CN"/>
        </w:rPr>
        <w:t>中的具体问题研究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5.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建设中国特色社会主义法治体系相关问题研究</w:t>
      </w:r>
    </w:p>
    <w:p>
      <w:pPr>
        <w:spacing w:line="360" w:lineRule="auto"/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6.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健全党领导全面依法治国的制度和工作机制研究</w:t>
      </w:r>
    </w:p>
    <w:p>
      <w:pPr>
        <w:spacing w:line="360" w:lineRule="auto"/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7.</w:t>
      </w:r>
      <w:r>
        <w:rPr>
          <w:rFonts w:hint="eastAsia" w:ascii="仿宋_GB2312" w:eastAsia="仿宋_GB2312"/>
          <w:color w:val="0000FF"/>
          <w:sz w:val="32"/>
          <w:szCs w:val="32"/>
        </w:rPr>
        <w:t>推进党的领导制度化、法治化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8.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建设德才兼备的高素质法治工作队伍研究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default" w:ascii="仿宋_GB2312" w:hAnsi="Times New Roman" w:eastAsia="仿宋_GB2312" w:cs="Times New Roman"/>
          <w:color w:val="0000FF"/>
          <w:sz w:val="32"/>
          <w:szCs w:val="32"/>
          <w:lang w:eastAsia="zh-CN"/>
        </w:rPr>
        <w:t>完善社会治安综合治理体制机制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现实问题研究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0.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京津冀协同发展和雄安新区建设法治保障问题研究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11.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民营经济发展司法保障研究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12.</w:t>
      </w:r>
      <w:r>
        <w:rPr>
          <w:rFonts w:hint="eastAsia"/>
          <w:color w:val="auto"/>
        </w:rPr>
        <w:t xml:space="preserve"> </w:t>
      </w:r>
      <w:r>
        <w:rPr>
          <w:rFonts w:hint="default" w:ascii="仿宋_GB2312" w:hAnsi="Times New Roman" w:eastAsia="仿宋_GB2312" w:cs="Times New Roman"/>
          <w:color w:val="0000FF"/>
          <w:sz w:val="32"/>
          <w:szCs w:val="32"/>
          <w:lang w:eastAsia="zh-CN"/>
        </w:rPr>
        <w:t>深化国家监察体制改革过程中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的相关</w:t>
      </w:r>
      <w:r>
        <w:rPr>
          <w:rFonts w:hint="default" w:ascii="仿宋_GB2312" w:hAnsi="Times New Roman" w:eastAsia="仿宋_GB2312" w:cs="Times New Roman"/>
          <w:color w:val="0000FF"/>
          <w:sz w:val="32"/>
          <w:szCs w:val="32"/>
          <w:lang w:eastAsia="zh-CN"/>
        </w:rPr>
        <w:t>问题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13.</w:t>
      </w:r>
      <w:r>
        <w:rPr>
          <w:rFonts w:hint="eastAsia" w:ascii="仿宋_GB2312" w:eastAsia="仿宋_GB2312"/>
          <w:color w:val="0000FF"/>
          <w:sz w:val="32"/>
          <w:szCs w:val="32"/>
        </w:rPr>
        <w:t>新时代依宪治国理论与实践研究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14.建立健全关于生态保护红线的法律法规体系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15.人工智能时代的相关法律问题研究</w:t>
      </w:r>
    </w:p>
    <w:p>
      <w:pPr>
        <w:widowControl/>
        <w:ind w:firstLine="643" w:firstLineChars="200"/>
        <w:jc w:val="left"/>
        <w:rPr>
          <w:rFonts w:hint="eastAsia" w:ascii="楷体_GB2312" w:hAnsi="宋体" w:eastAsia="楷体_GB2312" w:cs="Times New Roman"/>
          <w:b/>
          <w:bCs/>
          <w:color w:val="0000FF"/>
          <w:sz w:val="32"/>
          <w:szCs w:val="24"/>
        </w:rPr>
      </w:pPr>
      <w:r>
        <w:rPr>
          <w:rFonts w:hint="eastAsia" w:ascii="楷体_GB2312" w:hAnsi="宋体" w:eastAsia="楷体_GB2312" w:cs="Times New Roman"/>
          <w:b/>
          <w:bCs/>
          <w:color w:val="0000FF"/>
          <w:sz w:val="32"/>
          <w:szCs w:val="24"/>
        </w:rPr>
        <w:t>（四）</w:t>
      </w:r>
      <w:r>
        <w:rPr>
          <w:rFonts w:hint="eastAsia" w:ascii="楷体_GB2312" w:hAnsi="宋体" w:eastAsia="楷体_GB2312" w:cs="Times New Roman"/>
          <w:b/>
          <w:bCs/>
          <w:color w:val="0000FF"/>
          <w:sz w:val="32"/>
          <w:szCs w:val="24"/>
          <w:lang w:eastAsia="zh-CN"/>
        </w:rPr>
        <w:t>保障民生与创新</w:t>
      </w:r>
      <w:r>
        <w:rPr>
          <w:rFonts w:hint="default" w:ascii="楷体_GB2312" w:hAnsi="宋体" w:eastAsia="楷体_GB2312" w:cs="Times New Roman"/>
          <w:b/>
          <w:bCs/>
          <w:color w:val="0000FF"/>
          <w:sz w:val="32"/>
          <w:szCs w:val="24"/>
        </w:rPr>
        <w:t>社会治理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1.</w:t>
      </w:r>
      <w:r>
        <w:rPr>
          <w:rFonts w:hint="default" w:ascii="仿宋_GB2312" w:eastAsia="仿宋_GB2312"/>
          <w:color w:val="0000FF"/>
          <w:sz w:val="32"/>
          <w:szCs w:val="32"/>
          <w:lang w:eastAsia="zh-CN"/>
        </w:rPr>
        <w:t>加快推进基层社会治理现代化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相关问题研究</w:t>
      </w:r>
    </w:p>
    <w:p>
      <w:pPr>
        <w:ind w:firstLine="640" w:firstLineChars="200"/>
        <w:rPr>
          <w:rFonts w:hint="eastAsia" w:ascii="仿宋_GB2312" w:eastAsia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2.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社会稳定风险评估机制研究</w:t>
      </w:r>
    </w:p>
    <w:p>
      <w:pPr>
        <w:ind w:firstLine="540" w:firstLineChars="200"/>
        <w:rPr>
          <w:rFonts w:hint="default" w:ascii="微软雅黑" w:hAnsi="微软雅黑" w:eastAsia="微软雅黑"/>
          <w:b w:val="0"/>
          <w:i w:val="0"/>
          <w:snapToGrid/>
          <w:color w:val="333333"/>
          <w:sz w:val="27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7"/>
          <w:shd w:val="clear" w:color="auto" w:fill="FFFFFF"/>
          <w:lang w:val="en-US" w:eastAsia="zh-CN"/>
        </w:rPr>
        <w:t xml:space="preserve"> 3.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>河北</w:t>
      </w:r>
      <w:r>
        <w:rPr>
          <w:rFonts w:hint="default" w:ascii="仿宋_GB2312" w:eastAsia="仿宋_GB2312"/>
          <w:color w:val="0000FF"/>
          <w:sz w:val="32"/>
          <w:szCs w:val="32"/>
          <w:lang w:eastAsia="zh-CN"/>
        </w:rPr>
        <w:t>建设现代公共法律服务体系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中的相关问题研究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社保体系建设中的现实问题研究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河北基本公共服务存在的突出问题研究</w:t>
      </w:r>
    </w:p>
    <w:p>
      <w:pPr>
        <w:tabs>
          <w:tab w:val="left" w:pos="5040"/>
        </w:tabs>
        <w:ind w:firstLine="640" w:firstLineChars="200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FF"/>
          <w:sz w:val="32"/>
          <w:szCs w:val="32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河北基层社会治理问题研究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河北省就业创业支持服务体系研究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河北推动</w:t>
      </w:r>
      <w:r>
        <w:rPr>
          <w:rFonts w:hint="eastAsia" w:ascii="仿宋_GB2312" w:eastAsia="仿宋_GB2312"/>
          <w:color w:val="0000FF"/>
          <w:sz w:val="32"/>
          <w:szCs w:val="32"/>
        </w:rPr>
        <w:t>城乡公共体育设施建设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研究</w:t>
      </w:r>
    </w:p>
    <w:p>
      <w:pPr>
        <w:ind w:firstLine="640" w:firstLineChars="200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FF"/>
          <w:sz w:val="32"/>
          <w:szCs w:val="32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0000FF"/>
          <w:sz w:val="32"/>
          <w:szCs w:val="32"/>
        </w:rPr>
        <w:t>基层卫生健康服务体系建设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FF"/>
          <w:sz w:val="32"/>
          <w:szCs w:val="32"/>
        </w:rPr>
        <w:t>.</w:t>
      </w:r>
      <w:r>
        <w:rPr>
          <w:rFonts w:hint="eastAsia" w:ascii="仿宋_GB2312" w:eastAsia="仿宋_GB2312"/>
          <w:color w:val="0000FF"/>
          <w:sz w:val="32"/>
          <w:szCs w:val="32"/>
          <w:lang w:eastAsia="zh-CN"/>
        </w:rPr>
        <w:t>食品药品安全社会共治管理对策研究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河北优化完善创新创业政策环境的相关问题研究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eastAsia"/>
          <w:color w:val="0000FF"/>
        </w:rPr>
        <w:t xml:space="preserve"> 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深化教育综合改革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中的难点问题研究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13.推动河北教育高质量发展的对策研究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14.京津冀地区人口变动趋势研究</w:t>
      </w:r>
    </w:p>
    <w:p>
      <w:pPr>
        <w:widowControl/>
        <w:ind w:firstLine="640" w:firstLineChars="200"/>
        <w:jc w:val="left"/>
        <w:rPr>
          <w:rFonts w:ascii="楷体_GB2312" w:hAnsi="Times New Roman" w:eastAsia="楷体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15.河北城市治理的社会学研究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</w:rPr>
        <w:t>（五）宣传思想文化事业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1.新时代中国特色社会主义思想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的宣传、教育研究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做大做强主流思想舆论方式方法研究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社会主义核心价值观培养时代新人方法创新研究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中华优秀传统文化创造性转化、创新性发展研究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革命文化的继承与宣传研究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提高国家文化软实力和中华文化影响力路径研究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主流新闻舆论传播力、引导力、影响力、公信力研究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马克思主义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理论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传播手段和话语方式创新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推动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媒体融合向纵深发展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培育文明乡风、良好家风、淳朴民风研究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</w:rPr>
        <w:t>11.</w:t>
      </w: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</w:rPr>
        <w:t>文化文艺工作</w:t>
      </w: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eastAsia="zh-CN"/>
        </w:rPr>
        <w:t>的时代性研究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>12.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lang w:eastAsia="zh-CN"/>
        </w:rPr>
        <w:t>河北公共文化服务标准化、均等化研究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</w:rPr>
        <w:t>13.</w:t>
      </w: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eastAsia="zh-CN"/>
        </w:rPr>
        <w:t>河北文化产业高质量发展的相关问题研究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</w:rPr>
        <w:t>14.</w:t>
      </w: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eastAsia="zh-CN"/>
        </w:rPr>
        <w:t>河北优秀传统文化、革命文化的挖掘与宣传研究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  <w:t>15.河北文化企业的现状与发展研究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kern w:val="11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11"/>
          <w:sz w:val="32"/>
          <w:szCs w:val="32"/>
        </w:rPr>
        <w:t>（六）“三农”</w:t>
      </w:r>
      <w:r>
        <w:rPr>
          <w:rFonts w:hint="eastAsia" w:ascii="楷体_GB2312" w:hAnsi="Times New Roman" w:eastAsia="楷体_GB2312" w:cs="Times New Roman"/>
          <w:b/>
          <w:bCs/>
          <w:color w:val="auto"/>
          <w:kern w:val="11"/>
          <w:sz w:val="32"/>
          <w:szCs w:val="32"/>
          <w:lang w:eastAsia="zh-CN"/>
        </w:rPr>
        <w:t>与扶贫开发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1.</w:t>
      </w:r>
      <w:r>
        <w:rPr>
          <w:rFonts w:hint="default" w:ascii="仿宋_GB2312" w:hAnsi="Times New Roman" w:eastAsia="仿宋_GB2312" w:cs="Times New Roman"/>
          <w:color w:val="0000FF"/>
          <w:sz w:val="32"/>
          <w:szCs w:val="32"/>
          <w:lang w:eastAsia="zh-CN"/>
        </w:rPr>
        <w:t>农地“三权分置”改革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中的具体问题研究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河北深化农业供给侧结构性改革的实际问题研究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3.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河北农村基础设施和公共服务的现状与发展研究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加强懂农业、爱农村、爱农民农村工作队伍建设研究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河北培育农村发展新动能的对策研究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6.发展乡村产业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与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促进农民就地就近就业创业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7.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农村基层党组织建设研究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8.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河北调整农业种植结构的现实问题研究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9.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遏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制农地非农化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长效管理机制研究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10.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发展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农村金融创新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11.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河北深度贫困地区扶贫问题研究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>12.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农村基本医疗保险、大病保险、医疗救助研究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13.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教育扶贫研究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14.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  <w:t>产业扶贫的精准度和实效性研究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lang w:val="en-US" w:eastAsia="zh-CN"/>
        </w:rPr>
        <w:t>15.农村养老服务的现实问题研究</w:t>
      </w:r>
    </w:p>
    <w:p>
      <w:pPr>
        <w:rPr>
          <w:rFonts w:ascii="黑体" w:hAnsi="Times New Roman" w:eastAsia="黑体" w:cs="Times New Roman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eastAsia" w:ascii="黑体" w:hAnsi="Times New Roman" w:eastAsia="黑体" w:cs="Times New Roman"/>
          <w:bCs/>
          <w:color w:val="auto"/>
          <w:sz w:val="32"/>
          <w:szCs w:val="32"/>
        </w:rPr>
        <w:t>五、社会科学基础理论和理论前沿问题研究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各学科要充分发挥学科优势、人才优势，加强对学科建设、队伍建设具有重要作用的基础理论、重大问题和前沿热点问题的研究。要强化问题意识和需求导向，坚持理论联系实际，突出区域特色，关注重大现实问题，为河北经济社会全面发展服务。本部分研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不例举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具体课题题目，申报者可根据上述要求自拟选题。</w:t>
      </w:r>
    </w:p>
    <w:p>
      <w:pPr>
        <w:ind w:firstLine="627" w:firstLineChars="196"/>
        <w:rPr>
          <w:rFonts w:ascii="黑体" w:hAnsi="华文仿宋" w:eastAsia="黑体" w:cs="Times New Roman"/>
          <w:color w:val="auto"/>
          <w:sz w:val="32"/>
          <w:szCs w:val="32"/>
        </w:rPr>
      </w:pPr>
      <w:r>
        <w:rPr>
          <w:rFonts w:hint="eastAsia" w:ascii="黑体" w:hAnsi="宋体" w:eastAsia="黑体" w:cs="Times New Roman"/>
          <w:color w:val="auto"/>
          <w:sz w:val="32"/>
          <w:szCs w:val="32"/>
        </w:rPr>
        <w:t>六</w:t>
      </w:r>
      <w:r>
        <w:rPr>
          <w:rFonts w:hint="eastAsia" w:ascii="黑体" w:hAnsi="华文仿宋" w:eastAsia="黑体" w:cs="Times New Roman"/>
          <w:color w:val="auto"/>
          <w:sz w:val="32"/>
          <w:szCs w:val="32"/>
        </w:rPr>
        <w:t>、社团发展、服务社会研究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ascii="仿宋_GB2312" w:hAnsi="Courier New" w:eastAsia="仿宋_GB2312" w:cs="Courier New"/>
          <w:color w:val="auto"/>
          <w:sz w:val="32"/>
          <w:szCs w:val="32"/>
        </w:rPr>
      </w:pP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省社科联所属社团可结合自身发展建设实际，从学科建设、社会组织发展、服务社会等多个角度选题申报课题研究。研究内容可包括：社团活动的社会效益研究，社团服务社会能力研究，新时期社科类社团发展研究，社团党组织建设研究，社团承担社科项目机制研究等。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C4689"/>
    <w:rsid w:val="334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2019-03-20T04:49:00Z</dcterms:created>
  <dc:creator>路</dc:creator>
  <cp:lastModifiedBy>路</cp:lastModifiedBy>
  <dcterms:modified xsi:type="dcterms:W3CDTF">2019-03-20T04:49:55Z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